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F77AE" w14:textId="1D7E7449" w:rsidR="002658EB" w:rsidRPr="004B29F9" w:rsidRDefault="00CF445F" w:rsidP="00762F7E">
      <w:pPr>
        <w:jc w:val="both"/>
        <w:rPr>
          <w:rFonts w:ascii="Calibri" w:hAnsi="Calibri" w:cs="Calibri"/>
          <w:b/>
          <w:bCs/>
          <w:sz w:val="32"/>
          <w:szCs w:val="32"/>
          <w:u w:val="double"/>
        </w:rPr>
      </w:pPr>
      <w:r w:rsidRPr="004B29F9">
        <w:rPr>
          <w:rFonts w:ascii="Calibri" w:hAnsi="Calibri" w:cs="Calibri"/>
          <w:b/>
          <w:bCs/>
          <w:sz w:val="32"/>
          <w:szCs w:val="32"/>
          <w:u w:val="double"/>
        </w:rPr>
        <w:t>En savoir plus</w:t>
      </w:r>
      <w:r w:rsidR="002658EB" w:rsidRPr="004B29F9">
        <w:rPr>
          <w:rFonts w:ascii="Calibri" w:hAnsi="Calibri" w:cs="Calibri"/>
          <w:b/>
          <w:bCs/>
          <w:sz w:val="32"/>
          <w:szCs w:val="32"/>
        </w:rPr>
        <w:t> :</w:t>
      </w:r>
      <w:r w:rsidR="002658EB" w:rsidRPr="004B29F9">
        <w:rPr>
          <w:rFonts w:ascii="Calibri" w:hAnsi="Calibri" w:cs="Calibri"/>
          <w:b/>
          <w:bCs/>
          <w:sz w:val="32"/>
          <w:szCs w:val="32"/>
          <w:u w:val="double"/>
        </w:rPr>
        <w:t xml:space="preserve"> </w:t>
      </w:r>
    </w:p>
    <w:p w14:paraId="6AFBF541" w14:textId="77777777" w:rsidR="004B29F9" w:rsidRDefault="004B29F9" w:rsidP="00762F7E">
      <w:pPr>
        <w:jc w:val="both"/>
        <w:rPr>
          <w:rFonts w:ascii="Calibri" w:hAnsi="Calibri" w:cs="Calibri"/>
          <w:b/>
          <w:bCs/>
          <w:sz w:val="32"/>
          <w:szCs w:val="32"/>
        </w:rPr>
      </w:pPr>
    </w:p>
    <w:p w14:paraId="23E84908" w14:textId="77777777" w:rsidR="002658EB" w:rsidRPr="002658EB" w:rsidRDefault="002658EB" w:rsidP="002658EB">
      <w:pPr>
        <w:pStyle w:val="Paragraphedeliste"/>
        <w:numPr>
          <w:ilvl w:val="0"/>
          <w:numId w:val="6"/>
        </w:numPr>
        <w:jc w:val="both"/>
        <w:rPr>
          <w:rFonts w:ascii="Calibri" w:hAnsi="Calibri" w:cs="Calibri"/>
          <w:b/>
          <w:bCs/>
          <w:sz w:val="28"/>
          <w:szCs w:val="28"/>
        </w:rPr>
      </w:pPr>
      <w:r w:rsidRPr="002658EB">
        <w:rPr>
          <w:rFonts w:ascii="Calibri" w:hAnsi="Calibri" w:cs="Calibri"/>
          <w:b/>
          <w:bCs/>
          <w:sz w:val="28"/>
          <w:szCs w:val="28"/>
        </w:rPr>
        <w:t>P</w:t>
      </w:r>
      <w:r w:rsidR="00CF445F" w:rsidRPr="002658EB">
        <w:rPr>
          <w:rFonts w:ascii="Calibri" w:hAnsi="Calibri" w:cs="Calibri"/>
          <w:b/>
          <w:bCs/>
          <w:sz w:val="28"/>
          <w:szCs w:val="28"/>
        </w:rPr>
        <w:t xml:space="preserve">roposition cadre du ReSMiQ </w:t>
      </w:r>
      <w:r w:rsidRPr="002658EB">
        <w:rPr>
          <w:rFonts w:ascii="Calibri" w:hAnsi="Calibri" w:cs="Calibri"/>
          <w:b/>
          <w:bCs/>
          <w:sz w:val="28"/>
          <w:szCs w:val="28"/>
        </w:rPr>
        <w:t>en partenariat avec Mitacs</w:t>
      </w:r>
    </w:p>
    <w:p w14:paraId="711C132E" w14:textId="77777777" w:rsidR="00CF445F" w:rsidRPr="00762F7E" w:rsidRDefault="00CF445F" w:rsidP="00CF445F">
      <w:pPr>
        <w:jc w:val="both"/>
        <w:rPr>
          <w:rFonts w:ascii="Calibri" w:hAnsi="Calibri" w:cs="Calibri"/>
          <w:sz w:val="24"/>
          <w:szCs w:val="24"/>
        </w:rPr>
      </w:pPr>
      <w:r w:rsidRPr="00762F7E">
        <w:rPr>
          <w:rFonts w:ascii="Calibri" w:hAnsi="Calibri" w:cs="Calibri"/>
          <w:sz w:val="24"/>
          <w:szCs w:val="24"/>
        </w:rPr>
        <w:t xml:space="preserve">En partenariat avec Mitacs, le regroupement stratégique en microsystèmes du Québec (ReSMiQ) propose une offre de </w:t>
      </w:r>
      <w:r w:rsidRPr="00CB5D40">
        <w:rPr>
          <w:rFonts w:ascii="Calibri" w:hAnsi="Calibri" w:cs="Calibri"/>
          <w:b/>
          <w:bCs/>
          <w:sz w:val="24"/>
          <w:szCs w:val="24"/>
        </w:rPr>
        <w:t>280 unités</w:t>
      </w:r>
      <w:r w:rsidRPr="00762F7E">
        <w:rPr>
          <w:rFonts w:ascii="Calibri" w:hAnsi="Calibri" w:cs="Calibri"/>
          <w:sz w:val="24"/>
          <w:szCs w:val="24"/>
        </w:rPr>
        <w:t xml:space="preserve"> de stage de recherche soit environ </w:t>
      </w:r>
      <w:r w:rsidRPr="00762F7E">
        <w:rPr>
          <w:rFonts w:ascii="Calibri" w:hAnsi="Calibri" w:cs="Calibri"/>
          <w:b/>
          <w:bCs/>
          <w:sz w:val="24"/>
          <w:szCs w:val="24"/>
        </w:rPr>
        <w:t xml:space="preserve">620 000 $ </w:t>
      </w:r>
      <w:r w:rsidRPr="00762F7E">
        <w:rPr>
          <w:rFonts w:ascii="Calibri" w:hAnsi="Calibri" w:cs="Calibri"/>
          <w:sz w:val="24"/>
          <w:szCs w:val="24"/>
        </w:rPr>
        <w:t xml:space="preserve">en bourses étudiantes, répartis sur 2 ans entre les niveaux maîtrise (32 unités), doctorat (224 unités) et postdoctorat (24unités). </w:t>
      </w:r>
    </w:p>
    <w:p w14:paraId="6DF2F52A" w14:textId="7AF79042" w:rsidR="00684121" w:rsidRDefault="00CF445F" w:rsidP="00CF445F">
      <w:pPr>
        <w:jc w:val="both"/>
        <w:rPr>
          <w:rFonts w:ascii="Calibri" w:hAnsi="Calibri" w:cs="Calibri"/>
          <w:sz w:val="24"/>
          <w:szCs w:val="24"/>
        </w:rPr>
      </w:pPr>
      <w:r w:rsidRPr="00762F7E">
        <w:rPr>
          <w:rFonts w:ascii="Calibri" w:hAnsi="Calibri" w:cs="Calibri"/>
          <w:color w:val="FF0000"/>
          <w:sz w:val="24"/>
          <w:szCs w:val="24"/>
        </w:rPr>
        <w:t xml:space="preserve">Le 20 mars 2026, </w:t>
      </w:r>
      <w:r w:rsidRPr="00762F7E">
        <w:rPr>
          <w:rFonts w:ascii="Calibri" w:hAnsi="Calibri" w:cs="Calibri"/>
          <w:sz w:val="24"/>
          <w:szCs w:val="24"/>
        </w:rPr>
        <w:t xml:space="preserve">Mitacs a approuvé la </w:t>
      </w:r>
      <w:r w:rsidRPr="00131B6E">
        <w:rPr>
          <w:rFonts w:ascii="Calibri" w:hAnsi="Calibri" w:cs="Calibri"/>
          <w:b/>
          <w:bCs/>
          <w:sz w:val="24"/>
          <w:szCs w:val="24"/>
        </w:rPr>
        <w:t>proposition cadre-partie</w:t>
      </w:r>
      <w:r w:rsidR="00131B6E">
        <w:rPr>
          <w:rFonts w:ascii="Calibri" w:hAnsi="Calibri" w:cs="Calibri"/>
          <w:b/>
          <w:bCs/>
          <w:sz w:val="24"/>
          <w:szCs w:val="24"/>
        </w:rPr>
        <w:t xml:space="preserve"> </w:t>
      </w:r>
      <w:r w:rsidRPr="00762F7E">
        <w:rPr>
          <w:rFonts w:ascii="Calibri" w:hAnsi="Calibri" w:cs="Calibri"/>
          <w:b/>
          <w:bCs/>
          <w:sz w:val="24"/>
          <w:szCs w:val="24"/>
        </w:rPr>
        <w:t xml:space="preserve">1 </w:t>
      </w:r>
      <w:r w:rsidRPr="00762F7E">
        <w:rPr>
          <w:rFonts w:ascii="Calibri" w:hAnsi="Calibri" w:cs="Calibri"/>
          <w:sz w:val="24"/>
          <w:szCs w:val="24"/>
        </w:rPr>
        <w:t>du ReSMiQ</w:t>
      </w:r>
      <w:r w:rsidRPr="00762F7E">
        <w:rPr>
          <w:rFonts w:ascii="Calibri" w:hAnsi="Calibri" w:cs="Calibri"/>
          <w:b/>
          <w:bCs/>
          <w:sz w:val="24"/>
          <w:szCs w:val="24"/>
        </w:rPr>
        <w:t xml:space="preserve"> </w:t>
      </w:r>
      <w:r w:rsidRPr="00762F7E">
        <w:rPr>
          <w:rFonts w:ascii="Calibri" w:hAnsi="Calibri" w:cs="Calibri"/>
          <w:color w:val="000000" w:themeColor="text1"/>
          <w:sz w:val="24"/>
          <w:szCs w:val="24"/>
        </w:rPr>
        <w:t>« Plateforme</w:t>
      </w:r>
      <w:r w:rsidRPr="00762F7E">
        <w:rPr>
          <w:rFonts w:ascii="Calibri" w:hAnsi="Calibri" w:cs="Calibri"/>
          <w:sz w:val="24"/>
          <w:szCs w:val="24"/>
        </w:rPr>
        <w:t xml:space="preserve"> intégrée pour la conception et l’innovation en microsystèmes hétérogènes » qui a pour </w:t>
      </w:r>
      <w:r w:rsidR="00684121">
        <w:rPr>
          <w:rFonts w:ascii="Calibri" w:hAnsi="Calibri" w:cs="Calibri"/>
          <w:sz w:val="24"/>
          <w:szCs w:val="24"/>
        </w:rPr>
        <w:t>but de mettre en place une organisation efficace pour accélérer les collaborations entre l’industrie de l’</w:t>
      </w:r>
      <w:r w:rsidR="003D575C">
        <w:rPr>
          <w:rFonts w:ascii="Calibri" w:hAnsi="Calibri" w:cs="Calibri"/>
          <w:sz w:val="24"/>
          <w:szCs w:val="24"/>
        </w:rPr>
        <w:t>électronique</w:t>
      </w:r>
      <w:r w:rsidR="00684121">
        <w:rPr>
          <w:rFonts w:ascii="Calibri" w:hAnsi="Calibri" w:cs="Calibri"/>
          <w:sz w:val="24"/>
          <w:szCs w:val="24"/>
        </w:rPr>
        <w:t>/microsystèmes et les universités ou centres de recherche du Québec</w:t>
      </w:r>
      <w:r w:rsidR="003D575C">
        <w:rPr>
          <w:rFonts w:ascii="Calibri" w:hAnsi="Calibri" w:cs="Calibri"/>
          <w:sz w:val="24"/>
          <w:szCs w:val="24"/>
        </w:rPr>
        <w:t xml:space="preserve">, membres du ReSMiQ, via la sélection de projets d’innovation issus des besoins de l’industrie et qui feront l’objet de stages à destination d’étudiants de Maîtrise, de doctorants ou post-doctorants. </w:t>
      </w:r>
    </w:p>
    <w:p w14:paraId="5D18BDAD" w14:textId="0F3BBBA7" w:rsidR="00CF445F" w:rsidRPr="00762F7E" w:rsidRDefault="003D575C" w:rsidP="00CF445F">
      <w:pPr>
        <w:jc w:val="both"/>
        <w:rPr>
          <w:rFonts w:ascii="Calibri" w:hAnsi="Calibri" w:cs="Calibri"/>
          <w:sz w:val="24"/>
          <w:szCs w:val="24"/>
        </w:rPr>
      </w:pPr>
      <w:r w:rsidRPr="003D575C">
        <w:rPr>
          <w:rFonts w:ascii="Calibri" w:hAnsi="Calibri" w:cs="Calibri"/>
          <w:b/>
          <w:bCs/>
          <w:sz w:val="24"/>
          <w:szCs w:val="24"/>
        </w:rPr>
        <w:t>O</w:t>
      </w:r>
      <w:r w:rsidR="00CF445F" w:rsidRPr="003D575C">
        <w:rPr>
          <w:rFonts w:ascii="Calibri" w:hAnsi="Calibri" w:cs="Calibri"/>
          <w:b/>
          <w:bCs/>
          <w:sz w:val="24"/>
          <w:szCs w:val="24"/>
        </w:rPr>
        <w:t>bjectif</w:t>
      </w:r>
      <w:r>
        <w:rPr>
          <w:rFonts w:ascii="Calibri" w:hAnsi="Calibri" w:cs="Calibri"/>
          <w:sz w:val="24"/>
          <w:szCs w:val="24"/>
        </w:rPr>
        <w:t xml:space="preserve"> : </w:t>
      </w:r>
      <w:r w:rsidR="00CF445F" w:rsidRPr="00762F7E">
        <w:rPr>
          <w:rFonts w:ascii="Calibri" w:hAnsi="Calibri" w:cs="Calibri"/>
          <w:sz w:val="24"/>
          <w:szCs w:val="24"/>
        </w:rPr>
        <w:t>la formation d’une nouvelle génération de spécialistes capables de concevoir des dispositifs miniaturisés combinant électronique, micromécanique, microfluidique, photonique, capteurs intelligents et intelligence artificielle embarquée. Ces technologies joueront un rôle clé dans des secteurs stratégiques</w:t>
      </w:r>
      <w:r w:rsidR="00C933D4" w:rsidRPr="00762F7E">
        <w:rPr>
          <w:rFonts w:ascii="Calibri" w:hAnsi="Calibri" w:cs="Calibri"/>
          <w:sz w:val="24"/>
          <w:szCs w:val="24"/>
        </w:rPr>
        <w:t>,</w:t>
      </w:r>
      <w:r w:rsidR="00CF445F" w:rsidRPr="00762F7E">
        <w:rPr>
          <w:rFonts w:ascii="Calibri" w:hAnsi="Calibri" w:cs="Calibri"/>
          <w:sz w:val="24"/>
          <w:szCs w:val="24"/>
        </w:rPr>
        <w:t xml:space="preserve"> comme la santé, l’environnement, l’aérospatial, le transport et l’industrie manufacturière. Le programme repose sur une collaboration étroite entre les universités, les entreprises et des partenaires stratégiques.</w:t>
      </w:r>
    </w:p>
    <w:p w14:paraId="19317A54" w14:textId="77777777" w:rsidR="00CF445F" w:rsidRDefault="00CF445F" w:rsidP="00CF445F">
      <w:pPr>
        <w:jc w:val="both"/>
        <w:rPr>
          <w:rFonts w:ascii="Calibri" w:hAnsi="Calibri" w:cs="Calibri"/>
          <w:sz w:val="24"/>
          <w:szCs w:val="24"/>
        </w:rPr>
      </w:pPr>
      <w:r w:rsidRPr="00762F7E">
        <w:rPr>
          <w:rFonts w:ascii="Calibri" w:hAnsi="Calibri" w:cs="Calibri"/>
          <w:sz w:val="24"/>
          <w:szCs w:val="24"/>
        </w:rPr>
        <w:t>Les stagiaires mèneront des projets concrets répondant à des besoins industriels, encadrés par des experts universitaires et des mentors du milieu professionnel. Les retombées attendues incluent le développement de prototypes, la diffusion de résultats scientifiques, le transfert technologique vers les entreprises et le renforcement durable des liens entre les milieux académique et industriel. Ce programme contribuera à l’innovation technologique au Canada, tout en assurant la formation de personnel hautement qualifié capable de relever les défis scientifiques et économiques futurs.</w:t>
      </w:r>
    </w:p>
    <w:p w14:paraId="1790F59E" w14:textId="77777777" w:rsidR="003D575C" w:rsidRDefault="003D575C" w:rsidP="00CF445F">
      <w:pPr>
        <w:jc w:val="both"/>
        <w:rPr>
          <w:rFonts w:ascii="Calibri" w:hAnsi="Calibri" w:cs="Calibri"/>
          <w:sz w:val="24"/>
          <w:szCs w:val="24"/>
        </w:rPr>
      </w:pPr>
    </w:p>
    <w:p w14:paraId="3286CFCF" w14:textId="77777777" w:rsidR="003D575C" w:rsidRDefault="003D575C" w:rsidP="00CF445F">
      <w:pPr>
        <w:jc w:val="both"/>
        <w:rPr>
          <w:rFonts w:ascii="Calibri" w:hAnsi="Calibri" w:cs="Calibri"/>
          <w:sz w:val="24"/>
          <w:szCs w:val="24"/>
        </w:rPr>
      </w:pPr>
    </w:p>
    <w:p w14:paraId="204E009C" w14:textId="77777777" w:rsidR="003D575C" w:rsidRDefault="003D575C" w:rsidP="00CF445F">
      <w:pPr>
        <w:jc w:val="both"/>
        <w:rPr>
          <w:rFonts w:ascii="Calibri" w:hAnsi="Calibri" w:cs="Calibri"/>
          <w:sz w:val="24"/>
          <w:szCs w:val="24"/>
        </w:rPr>
      </w:pPr>
    </w:p>
    <w:p w14:paraId="47A86D5A" w14:textId="77777777" w:rsidR="003D575C" w:rsidRDefault="003D575C" w:rsidP="00CF445F">
      <w:pPr>
        <w:jc w:val="both"/>
        <w:rPr>
          <w:rFonts w:ascii="Calibri" w:hAnsi="Calibri" w:cs="Calibri"/>
          <w:sz w:val="24"/>
          <w:szCs w:val="24"/>
        </w:rPr>
      </w:pPr>
    </w:p>
    <w:p w14:paraId="4CD6994D" w14:textId="77777777" w:rsidR="003D575C" w:rsidRDefault="003D575C" w:rsidP="00CF445F">
      <w:pPr>
        <w:jc w:val="both"/>
        <w:rPr>
          <w:rFonts w:ascii="Calibri" w:hAnsi="Calibri" w:cs="Calibri"/>
          <w:sz w:val="24"/>
          <w:szCs w:val="24"/>
        </w:rPr>
      </w:pPr>
    </w:p>
    <w:p w14:paraId="7CB14F48" w14:textId="77777777" w:rsidR="003D575C" w:rsidRDefault="003D575C" w:rsidP="00CF445F">
      <w:pPr>
        <w:jc w:val="both"/>
        <w:rPr>
          <w:rFonts w:ascii="Calibri" w:hAnsi="Calibri" w:cs="Calibri"/>
          <w:sz w:val="24"/>
          <w:szCs w:val="24"/>
        </w:rPr>
      </w:pPr>
    </w:p>
    <w:p w14:paraId="4E887D27" w14:textId="77777777" w:rsidR="003D575C" w:rsidRDefault="003D575C" w:rsidP="00CF445F">
      <w:pPr>
        <w:jc w:val="both"/>
        <w:rPr>
          <w:rFonts w:ascii="Calibri" w:hAnsi="Calibri" w:cs="Calibri"/>
          <w:sz w:val="24"/>
          <w:szCs w:val="24"/>
        </w:rPr>
      </w:pPr>
    </w:p>
    <w:p w14:paraId="6A3DB04C" w14:textId="77777777" w:rsidR="003D575C" w:rsidRDefault="003D575C" w:rsidP="00CF445F">
      <w:pPr>
        <w:jc w:val="both"/>
        <w:rPr>
          <w:rFonts w:ascii="Calibri" w:hAnsi="Calibri" w:cs="Calibri"/>
          <w:sz w:val="24"/>
          <w:szCs w:val="24"/>
        </w:rPr>
      </w:pPr>
    </w:p>
    <w:p w14:paraId="1A2EB23F" w14:textId="7AC069CA" w:rsidR="00CF445F" w:rsidRDefault="00DB00F8" w:rsidP="002658EB">
      <w:pPr>
        <w:pStyle w:val="Paragraphedeliste"/>
        <w:numPr>
          <w:ilvl w:val="0"/>
          <w:numId w:val="7"/>
        </w:numPr>
        <w:jc w:val="both"/>
        <w:rPr>
          <w:b/>
          <w:bCs/>
          <w:sz w:val="28"/>
          <w:szCs w:val="28"/>
        </w:rPr>
      </w:pPr>
      <w:r>
        <w:rPr>
          <w:b/>
          <w:bCs/>
          <w:sz w:val="28"/>
          <w:szCs w:val="28"/>
        </w:rPr>
        <w:t>Mitacs Accélération</w:t>
      </w:r>
    </w:p>
    <w:p w14:paraId="2B1B54F7" w14:textId="52975834" w:rsidR="003D37AB" w:rsidRDefault="003D37AB" w:rsidP="003D37AB">
      <w:pPr>
        <w:pStyle w:val="Paragraphedeliste"/>
        <w:numPr>
          <w:ilvl w:val="4"/>
          <w:numId w:val="8"/>
        </w:numPr>
        <w:jc w:val="both"/>
        <w:rPr>
          <w:b/>
          <w:bCs/>
          <w:sz w:val="28"/>
          <w:szCs w:val="28"/>
        </w:rPr>
      </w:pPr>
      <w:r w:rsidRPr="002658EB">
        <w:rPr>
          <w:b/>
          <w:bCs/>
          <w:sz w:val="28"/>
          <w:szCs w:val="28"/>
        </w:rPr>
        <w:t>Modalités de financement :</w:t>
      </w:r>
    </w:p>
    <w:tbl>
      <w:tblPr>
        <w:tblW w:w="6540" w:type="dxa"/>
        <w:tblInd w:w="875" w:type="dxa"/>
        <w:tblCellMar>
          <w:left w:w="70" w:type="dxa"/>
          <w:right w:w="70" w:type="dxa"/>
        </w:tblCellMar>
        <w:tblLook w:val="04A0" w:firstRow="1" w:lastRow="0" w:firstColumn="1" w:lastColumn="0" w:noHBand="0" w:noVBand="1"/>
      </w:tblPr>
      <w:tblGrid>
        <w:gridCol w:w="2684"/>
        <w:gridCol w:w="2036"/>
        <w:gridCol w:w="1820"/>
      </w:tblGrid>
      <w:tr w:rsidR="007D69F9" w:rsidRPr="007D69F9" w14:paraId="4133064B" w14:textId="77777777" w:rsidTr="007D69F9">
        <w:trPr>
          <w:trHeight w:val="540"/>
        </w:trPr>
        <w:tc>
          <w:tcPr>
            <w:tcW w:w="2684" w:type="dxa"/>
            <w:tcBorders>
              <w:top w:val="single" w:sz="8" w:space="0" w:color="auto"/>
              <w:left w:val="single" w:sz="8" w:space="0" w:color="auto"/>
              <w:bottom w:val="single" w:sz="8" w:space="0" w:color="auto"/>
              <w:right w:val="single" w:sz="8" w:space="0" w:color="auto"/>
            </w:tcBorders>
            <w:shd w:val="clear" w:color="auto" w:fill="60CAF3" w:themeFill="accent4" w:themeFillTint="99"/>
            <w:vAlign w:val="center"/>
            <w:hideMark/>
          </w:tcPr>
          <w:p w14:paraId="4EEE524B"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Cofinancement Mitacs</w:t>
            </w:r>
          </w:p>
        </w:tc>
        <w:tc>
          <w:tcPr>
            <w:tcW w:w="2036" w:type="dxa"/>
            <w:tcBorders>
              <w:top w:val="single" w:sz="8" w:space="0" w:color="auto"/>
              <w:left w:val="nil"/>
              <w:bottom w:val="single" w:sz="8" w:space="0" w:color="auto"/>
              <w:right w:val="single" w:sz="8" w:space="0" w:color="auto"/>
            </w:tcBorders>
            <w:shd w:val="clear" w:color="auto" w:fill="60CAF3" w:themeFill="accent4" w:themeFillTint="99"/>
            <w:vAlign w:val="center"/>
            <w:hideMark/>
          </w:tcPr>
          <w:p w14:paraId="27D7E728" w14:textId="321C75F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 xml:space="preserve">Modèle standard (maîtrise et </w:t>
            </w:r>
            <w:r>
              <w:rPr>
                <w:rFonts w:ascii="Times New Roman" w:eastAsia="Times New Roman" w:hAnsi="Times New Roman" w:cs="Times New Roman"/>
                <w:b/>
                <w:bCs/>
                <w:color w:val="000000"/>
                <w:kern w:val="0"/>
                <w:sz w:val="20"/>
                <w:szCs w:val="20"/>
                <w:lang w:eastAsia="fr-CA"/>
                <w14:ligatures w14:val="none"/>
              </w:rPr>
              <w:t>d</w:t>
            </w:r>
            <w:r w:rsidRPr="007D69F9">
              <w:rPr>
                <w:rFonts w:ascii="Times New Roman" w:eastAsia="Times New Roman" w:hAnsi="Times New Roman" w:cs="Times New Roman"/>
                <w:b/>
                <w:bCs/>
                <w:color w:val="000000"/>
                <w:kern w:val="0"/>
                <w:sz w:val="20"/>
                <w:szCs w:val="20"/>
                <w:lang w:eastAsia="fr-CA"/>
                <w14:ligatures w14:val="none"/>
              </w:rPr>
              <w:t>octorat)</w:t>
            </w:r>
          </w:p>
        </w:tc>
        <w:tc>
          <w:tcPr>
            <w:tcW w:w="1820" w:type="dxa"/>
            <w:tcBorders>
              <w:top w:val="single" w:sz="8" w:space="0" w:color="auto"/>
              <w:left w:val="nil"/>
              <w:bottom w:val="single" w:sz="8" w:space="0" w:color="auto"/>
              <w:right w:val="single" w:sz="8" w:space="0" w:color="auto"/>
            </w:tcBorders>
            <w:shd w:val="clear" w:color="auto" w:fill="60CAF3" w:themeFill="accent4" w:themeFillTint="99"/>
            <w:vAlign w:val="center"/>
            <w:hideMark/>
          </w:tcPr>
          <w:p w14:paraId="20CBB031"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Postdoctorat</w:t>
            </w:r>
          </w:p>
        </w:tc>
      </w:tr>
      <w:tr w:rsidR="007D69F9" w:rsidRPr="007D69F9" w14:paraId="60C8AFE7" w14:textId="77777777" w:rsidTr="007D69F9">
        <w:trPr>
          <w:trHeight w:val="540"/>
        </w:trPr>
        <w:tc>
          <w:tcPr>
            <w:tcW w:w="2684" w:type="dxa"/>
            <w:tcBorders>
              <w:top w:val="single" w:sz="4" w:space="0" w:color="156082"/>
              <w:left w:val="single" w:sz="8" w:space="0" w:color="auto"/>
              <w:bottom w:val="single" w:sz="8" w:space="0" w:color="auto"/>
              <w:right w:val="single" w:sz="8" w:space="0" w:color="auto"/>
            </w:tcBorders>
            <w:shd w:val="clear" w:color="auto" w:fill="60CAF3" w:themeFill="accent4" w:themeFillTint="99"/>
            <w:vAlign w:val="center"/>
            <w:hideMark/>
          </w:tcPr>
          <w:p w14:paraId="5D853174"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 xml:space="preserve">Durée du stage                           </w:t>
            </w:r>
          </w:p>
        </w:tc>
        <w:tc>
          <w:tcPr>
            <w:tcW w:w="2036" w:type="dxa"/>
            <w:tcBorders>
              <w:top w:val="single" w:sz="4" w:space="0" w:color="156082"/>
              <w:left w:val="nil"/>
              <w:bottom w:val="single" w:sz="8" w:space="0" w:color="auto"/>
              <w:right w:val="single" w:sz="8" w:space="0" w:color="auto"/>
            </w:tcBorders>
            <w:vAlign w:val="center"/>
            <w:hideMark/>
          </w:tcPr>
          <w:p w14:paraId="59C7108C"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4 ou 6 mois</w:t>
            </w:r>
          </w:p>
        </w:tc>
        <w:tc>
          <w:tcPr>
            <w:tcW w:w="1820" w:type="dxa"/>
            <w:tcBorders>
              <w:top w:val="single" w:sz="4" w:space="0" w:color="156082"/>
              <w:left w:val="nil"/>
              <w:bottom w:val="single" w:sz="8" w:space="0" w:color="auto"/>
              <w:right w:val="single" w:sz="8" w:space="0" w:color="auto"/>
            </w:tcBorders>
            <w:vAlign w:val="center"/>
            <w:hideMark/>
          </w:tcPr>
          <w:p w14:paraId="44D2A9CB"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4 ou 6 mois</w:t>
            </w:r>
          </w:p>
        </w:tc>
      </w:tr>
      <w:tr w:rsidR="007D69F9" w:rsidRPr="007D69F9" w14:paraId="6525A85B" w14:textId="77777777" w:rsidTr="007D69F9">
        <w:trPr>
          <w:trHeight w:val="540"/>
        </w:trPr>
        <w:tc>
          <w:tcPr>
            <w:tcW w:w="2684" w:type="dxa"/>
            <w:tcBorders>
              <w:top w:val="single" w:sz="4" w:space="0" w:color="156082"/>
              <w:left w:val="single" w:sz="8" w:space="0" w:color="auto"/>
              <w:bottom w:val="single" w:sz="8" w:space="0" w:color="auto"/>
              <w:right w:val="single" w:sz="8" w:space="0" w:color="auto"/>
            </w:tcBorders>
            <w:shd w:val="clear" w:color="auto" w:fill="60CAF3" w:themeFill="accent4" w:themeFillTint="99"/>
            <w:vAlign w:val="center"/>
            <w:hideMark/>
          </w:tcPr>
          <w:p w14:paraId="0E1124FC"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Subvention de recherche totale </w:t>
            </w:r>
          </w:p>
        </w:tc>
        <w:tc>
          <w:tcPr>
            <w:tcW w:w="2036" w:type="dxa"/>
            <w:tcBorders>
              <w:top w:val="single" w:sz="4" w:space="0" w:color="156082"/>
              <w:left w:val="nil"/>
              <w:bottom w:val="single" w:sz="8" w:space="0" w:color="auto"/>
              <w:right w:val="single" w:sz="8" w:space="0" w:color="auto"/>
            </w:tcBorders>
            <w:vAlign w:val="center"/>
            <w:hideMark/>
          </w:tcPr>
          <w:p w14:paraId="42C498E2"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15 000 $</w:t>
            </w:r>
          </w:p>
        </w:tc>
        <w:tc>
          <w:tcPr>
            <w:tcW w:w="1820" w:type="dxa"/>
            <w:tcBorders>
              <w:top w:val="single" w:sz="4" w:space="0" w:color="156082"/>
              <w:left w:val="nil"/>
              <w:bottom w:val="single" w:sz="8" w:space="0" w:color="auto"/>
              <w:right w:val="single" w:sz="8" w:space="0" w:color="auto"/>
            </w:tcBorders>
            <w:vAlign w:val="center"/>
            <w:hideMark/>
          </w:tcPr>
          <w:p w14:paraId="0B29FEEE"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20 000 $</w:t>
            </w:r>
          </w:p>
        </w:tc>
      </w:tr>
      <w:tr w:rsidR="007D69F9" w:rsidRPr="007D69F9" w14:paraId="5616587B" w14:textId="77777777" w:rsidTr="007D69F9">
        <w:trPr>
          <w:trHeight w:val="540"/>
        </w:trPr>
        <w:tc>
          <w:tcPr>
            <w:tcW w:w="2684" w:type="dxa"/>
            <w:tcBorders>
              <w:top w:val="single" w:sz="4" w:space="0" w:color="156082"/>
              <w:left w:val="single" w:sz="8" w:space="0" w:color="auto"/>
              <w:bottom w:val="single" w:sz="8" w:space="0" w:color="auto"/>
              <w:right w:val="single" w:sz="8" w:space="0" w:color="auto"/>
            </w:tcBorders>
            <w:shd w:val="clear" w:color="auto" w:fill="60CAF3" w:themeFill="accent4" w:themeFillTint="99"/>
            <w:vAlign w:val="center"/>
            <w:hideMark/>
          </w:tcPr>
          <w:p w14:paraId="70B8983A"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Contribution de l’organisme partenaire </w:t>
            </w:r>
          </w:p>
        </w:tc>
        <w:tc>
          <w:tcPr>
            <w:tcW w:w="2036" w:type="dxa"/>
            <w:tcBorders>
              <w:top w:val="single" w:sz="4" w:space="0" w:color="156082"/>
              <w:left w:val="nil"/>
              <w:bottom w:val="single" w:sz="8" w:space="0" w:color="auto"/>
              <w:right w:val="single" w:sz="8" w:space="0" w:color="auto"/>
            </w:tcBorders>
            <w:vAlign w:val="center"/>
            <w:hideMark/>
          </w:tcPr>
          <w:p w14:paraId="74B4DBDC"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 xml:space="preserve">7 500 $ </w:t>
            </w:r>
          </w:p>
        </w:tc>
        <w:tc>
          <w:tcPr>
            <w:tcW w:w="1820" w:type="dxa"/>
            <w:tcBorders>
              <w:top w:val="single" w:sz="4" w:space="0" w:color="156082"/>
              <w:left w:val="nil"/>
              <w:bottom w:val="single" w:sz="8" w:space="0" w:color="auto"/>
              <w:right w:val="single" w:sz="8" w:space="0" w:color="auto"/>
            </w:tcBorders>
            <w:vAlign w:val="center"/>
            <w:hideMark/>
          </w:tcPr>
          <w:p w14:paraId="59636B40"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10 000$</w:t>
            </w:r>
          </w:p>
        </w:tc>
      </w:tr>
      <w:tr w:rsidR="007D69F9" w:rsidRPr="007D69F9" w14:paraId="7F832BCD" w14:textId="77777777" w:rsidTr="007D69F9">
        <w:trPr>
          <w:trHeight w:val="540"/>
        </w:trPr>
        <w:tc>
          <w:tcPr>
            <w:tcW w:w="2684" w:type="dxa"/>
            <w:tcBorders>
              <w:top w:val="single" w:sz="4" w:space="0" w:color="156082"/>
              <w:left w:val="single" w:sz="8" w:space="0" w:color="auto"/>
              <w:bottom w:val="single" w:sz="8" w:space="0" w:color="auto"/>
              <w:right w:val="single" w:sz="8" w:space="0" w:color="auto"/>
            </w:tcBorders>
            <w:shd w:val="clear" w:color="auto" w:fill="60CAF3" w:themeFill="accent4" w:themeFillTint="99"/>
            <w:vAlign w:val="center"/>
            <w:hideMark/>
          </w:tcPr>
          <w:p w14:paraId="324D458B" w14:textId="77777777"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 xml:space="preserve">Allocation par stagiaire                  </w:t>
            </w:r>
          </w:p>
        </w:tc>
        <w:tc>
          <w:tcPr>
            <w:tcW w:w="2036" w:type="dxa"/>
            <w:tcBorders>
              <w:top w:val="single" w:sz="4" w:space="0" w:color="156082"/>
              <w:left w:val="nil"/>
              <w:bottom w:val="single" w:sz="8" w:space="0" w:color="auto"/>
              <w:right w:val="single" w:sz="8" w:space="0" w:color="auto"/>
            </w:tcBorders>
            <w:vAlign w:val="center"/>
            <w:hideMark/>
          </w:tcPr>
          <w:p w14:paraId="5971BDAF"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10 000$</w:t>
            </w:r>
          </w:p>
        </w:tc>
        <w:tc>
          <w:tcPr>
            <w:tcW w:w="1820" w:type="dxa"/>
            <w:tcBorders>
              <w:top w:val="single" w:sz="4" w:space="0" w:color="156082"/>
              <w:left w:val="nil"/>
              <w:bottom w:val="single" w:sz="8" w:space="0" w:color="auto"/>
              <w:right w:val="single" w:sz="8" w:space="0" w:color="auto"/>
            </w:tcBorders>
            <w:vAlign w:val="center"/>
            <w:hideMark/>
          </w:tcPr>
          <w:p w14:paraId="7B86DAC2"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15 000$</w:t>
            </w:r>
          </w:p>
        </w:tc>
      </w:tr>
      <w:tr w:rsidR="007D69F9" w:rsidRPr="007D69F9" w14:paraId="20DCCE7E" w14:textId="77777777" w:rsidTr="007D69F9">
        <w:trPr>
          <w:trHeight w:val="540"/>
        </w:trPr>
        <w:tc>
          <w:tcPr>
            <w:tcW w:w="2684" w:type="dxa"/>
            <w:tcBorders>
              <w:top w:val="single" w:sz="4" w:space="0" w:color="156082"/>
              <w:left w:val="single" w:sz="8" w:space="0" w:color="auto"/>
              <w:bottom w:val="single" w:sz="8" w:space="0" w:color="auto"/>
              <w:right w:val="single" w:sz="8" w:space="0" w:color="auto"/>
            </w:tcBorders>
            <w:shd w:val="clear" w:color="auto" w:fill="60CAF3" w:themeFill="accent4" w:themeFillTint="99"/>
            <w:vAlign w:val="center"/>
            <w:hideMark/>
          </w:tcPr>
          <w:p w14:paraId="663443E4" w14:textId="6A91CBB2" w:rsidR="007D69F9" w:rsidRPr="007D69F9" w:rsidRDefault="007D69F9" w:rsidP="007D69F9">
            <w:pPr>
              <w:spacing w:after="0" w:line="240" w:lineRule="auto"/>
              <w:rPr>
                <w:rFonts w:ascii="Times New Roman" w:eastAsia="Times New Roman" w:hAnsi="Times New Roman" w:cs="Times New Roman"/>
                <w:b/>
                <w:bCs/>
                <w:color w:val="000000"/>
                <w:kern w:val="0"/>
                <w:sz w:val="20"/>
                <w:szCs w:val="20"/>
                <w:lang w:eastAsia="fr-CA"/>
                <w14:ligatures w14:val="none"/>
              </w:rPr>
            </w:pPr>
            <w:r w:rsidRPr="007D69F9">
              <w:rPr>
                <w:rFonts w:ascii="Times New Roman" w:eastAsia="Times New Roman" w:hAnsi="Times New Roman" w:cs="Times New Roman"/>
                <w:b/>
                <w:bCs/>
                <w:color w:val="000000"/>
                <w:kern w:val="0"/>
                <w:sz w:val="20"/>
                <w:szCs w:val="20"/>
                <w:lang w:eastAsia="fr-CA"/>
                <w14:ligatures w14:val="none"/>
              </w:rPr>
              <w:t>Fonds de recherche</w:t>
            </w:r>
            <w:r w:rsidR="00DB00F8" w:rsidRPr="007D69F9">
              <w:rPr>
                <w:rFonts w:ascii="Times New Roman" w:eastAsia="Times New Roman" w:hAnsi="Times New Roman" w:cs="Times New Roman"/>
                <w:b/>
                <w:bCs/>
                <w:color w:val="000000"/>
                <w:kern w:val="0"/>
                <w:sz w:val="20"/>
                <w:szCs w:val="20"/>
                <w:lang w:eastAsia="fr-CA"/>
                <w14:ligatures w14:val="none"/>
              </w:rPr>
              <w:t xml:space="preserve">  </w:t>
            </w:r>
            <w:r w:rsidRPr="007D69F9">
              <w:rPr>
                <w:rFonts w:ascii="Times New Roman" w:eastAsia="Times New Roman" w:hAnsi="Times New Roman" w:cs="Times New Roman"/>
                <w:b/>
                <w:bCs/>
                <w:color w:val="000000"/>
                <w:kern w:val="0"/>
                <w:sz w:val="20"/>
                <w:szCs w:val="20"/>
                <w:lang w:eastAsia="fr-CA"/>
                <w14:ligatures w14:val="none"/>
              </w:rPr>
              <w:t xml:space="preserve">        </w:t>
            </w:r>
          </w:p>
        </w:tc>
        <w:tc>
          <w:tcPr>
            <w:tcW w:w="2036" w:type="dxa"/>
            <w:tcBorders>
              <w:top w:val="single" w:sz="4" w:space="0" w:color="156082"/>
              <w:left w:val="nil"/>
              <w:bottom w:val="single" w:sz="8" w:space="0" w:color="auto"/>
              <w:right w:val="single" w:sz="8" w:space="0" w:color="auto"/>
            </w:tcBorders>
            <w:vAlign w:val="center"/>
            <w:hideMark/>
          </w:tcPr>
          <w:p w14:paraId="7E1D7BBC"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 xml:space="preserve">5 000 $ </w:t>
            </w:r>
          </w:p>
        </w:tc>
        <w:tc>
          <w:tcPr>
            <w:tcW w:w="1820" w:type="dxa"/>
            <w:tcBorders>
              <w:top w:val="single" w:sz="4" w:space="0" w:color="156082"/>
              <w:left w:val="nil"/>
              <w:bottom w:val="single" w:sz="8" w:space="0" w:color="auto"/>
              <w:right w:val="single" w:sz="8" w:space="0" w:color="auto"/>
            </w:tcBorders>
            <w:vAlign w:val="center"/>
            <w:hideMark/>
          </w:tcPr>
          <w:p w14:paraId="4C20C971" w14:textId="77777777" w:rsidR="007D69F9" w:rsidRPr="007D69F9" w:rsidRDefault="007D69F9" w:rsidP="007D69F9">
            <w:pPr>
              <w:spacing w:after="0" w:line="240" w:lineRule="auto"/>
              <w:jc w:val="center"/>
              <w:rPr>
                <w:rFonts w:ascii="Times New Roman" w:eastAsia="Times New Roman" w:hAnsi="Times New Roman" w:cs="Times New Roman"/>
                <w:color w:val="000000"/>
                <w:kern w:val="0"/>
                <w:lang w:eastAsia="fr-CA"/>
                <w14:ligatures w14:val="none"/>
              </w:rPr>
            </w:pPr>
            <w:r w:rsidRPr="007D69F9">
              <w:rPr>
                <w:rFonts w:ascii="Times New Roman" w:eastAsia="Times New Roman" w:hAnsi="Times New Roman" w:cs="Times New Roman"/>
                <w:color w:val="000000"/>
                <w:kern w:val="0"/>
                <w:lang w:eastAsia="fr-CA"/>
                <w14:ligatures w14:val="none"/>
              </w:rPr>
              <w:t xml:space="preserve">5 000 $ </w:t>
            </w:r>
          </w:p>
        </w:tc>
      </w:tr>
    </w:tbl>
    <w:p w14:paraId="09A8D423" w14:textId="7D123913" w:rsidR="00CF445F" w:rsidRDefault="00CF445F" w:rsidP="00CF445F">
      <w:pPr>
        <w:ind w:firstLine="708"/>
        <w:jc w:val="both"/>
        <w:rPr>
          <w:b/>
          <w:bCs/>
          <w:sz w:val="28"/>
          <w:szCs w:val="28"/>
        </w:rPr>
      </w:pPr>
    </w:p>
    <w:p w14:paraId="2E80BBB3" w14:textId="55F747AE" w:rsidR="00B54726" w:rsidRPr="00B54726" w:rsidRDefault="00B54726" w:rsidP="00B54726">
      <w:pPr>
        <w:ind w:firstLine="708"/>
        <w:jc w:val="both"/>
        <w:rPr>
          <w:rFonts w:ascii="Calibri" w:hAnsi="Calibri" w:cs="Calibri"/>
          <w:sz w:val="24"/>
          <w:szCs w:val="24"/>
        </w:rPr>
      </w:pPr>
      <w:r>
        <w:rPr>
          <w:rFonts w:ascii="Calibri" w:hAnsi="Calibri" w:cs="Calibri"/>
          <w:sz w:val="24"/>
          <w:szCs w:val="24"/>
        </w:rPr>
        <w:t xml:space="preserve">Le </w:t>
      </w:r>
      <w:r w:rsidRPr="00B54726">
        <w:rPr>
          <w:rFonts w:ascii="Calibri" w:hAnsi="Calibri" w:cs="Calibri"/>
          <w:sz w:val="24"/>
          <w:szCs w:val="24"/>
        </w:rPr>
        <w:t>modèle de financement standard exige une contribution d’une organisation partenaire à partir de 7 500 $ CA par stage (4 ou 6 mois), ce qui se traduit par une subvention de recherche de 15 000 $ CA. De ces fonds, la personne en stage doit recevoir une allocation ou un salaire d’au moins 10 000 $ CA.</w:t>
      </w:r>
    </w:p>
    <w:p w14:paraId="1BAD8C22" w14:textId="0812AEE5" w:rsidR="00B54726" w:rsidRPr="00B54726" w:rsidRDefault="00B54726" w:rsidP="00B54726">
      <w:pPr>
        <w:ind w:firstLine="708"/>
        <w:jc w:val="both"/>
        <w:rPr>
          <w:rFonts w:ascii="Calibri" w:hAnsi="Calibri" w:cs="Calibri"/>
          <w:sz w:val="24"/>
          <w:szCs w:val="24"/>
        </w:rPr>
      </w:pPr>
      <w:r>
        <w:rPr>
          <w:rFonts w:ascii="Calibri" w:hAnsi="Calibri" w:cs="Calibri"/>
          <w:sz w:val="24"/>
          <w:szCs w:val="24"/>
        </w:rPr>
        <w:t xml:space="preserve">Le </w:t>
      </w:r>
      <w:r w:rsidRPr="00B54726">
        <w:rPr>
          <w:rFonts w:ascii="Calibri" w:hAnsi="Calibri" w:cs="Calibri"/>
          <w:sz w:val="24"/>
          <w:szCs w:val="24"/>
        </w:rPr>
        <w:t>modèle de financement des chercheuses et chercheurs au postdoctorat exige une contribution de 10 000 $ CA par stage (4 mois), ce qui se traduit par une subvention de recherche de 20 000 $ CA. Ce modèle de financement est offert uniquement aux stagiaires au postdoctorat.</w:t>
      </w:r>
    </w:p>
    <w:p w14:paraId="42B0B41A" w14:textId="77777777" w:rsidR="00B54726" w:rsidRPr="0030769D" w:rsidRDefault="00B54726" w:rsidP="00B54726">
      <w:pPr>
        <w:ind w:firstLine="708"/>
        <w:jc w:val="both"/>
        <w:rPr>
          <w:b/>
          <w:bCs/>
          <w:sz w:val="28"/>
          <w:szCs w:val="28"/>
        </w:rPr>
      </w:pPr>
    </w:p>
    <w:sectPr w:rsidR="00B54726" w:rsidRPr="0030769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EE956" w14:textId="77777777" w:rsidR="00661433" w:rsidRDefault="00661433" w:rsidP="00C933D4">
      <w:pPr>
        <w:spacing w:after="0" w:line="240" w:lineRule="auto"/>
      </w:pPr>
      <w:r>
        <w:separator/>
      </w:r>
    </w:p>
  </w:endnote>
  <w:endnote w:type="continuationSeparator" w:id="0">
    <w:p w14:paraId="2921FD34" w14:textId="77777777" w:rsidR="00661433" w:rsidRDefault="00661433" w:rsidP="00C93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4DEC" w14:textId="77777777" w:rsidR="002E0F9C" w:rsidRDefault="002E0F9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F0900" w14:textId="77777777" w:rsidR="002E0F9C" w:rsidRDefault="002E0F9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8ED18" w14:textId="77777777" w:rsidR="002E0F9C" w:rsidRDefault="002E0F9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E1C6" w14:textId="77777777" w:rsidR="00661433" w:rsidRDefault="00661433" w:rsidP="00C933D4">
      <w:pPr>
        <w:spacing w:after="0" w:line="240" w:lineRule="auto"/>
      </w:pPr>
      <w:r>
        <w:separator/>
      </w:r>
    </w:p>
  </w:footnote>
  <w:footnote w:type="continuationSeparator" w:id="0">
    <w:p w14:paraId="27EF566A" w14:textId="77777777" w:rsidR="00661433" w:rsidRDefault="00661433" w:rsidP="00C93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D0A58" w14:textId="77777777" w:rsidR="002E0F9C" w:rsidRDefault="002E0F9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B59D2" w14:textId="28CADA42" w:rsidR="004B29F9" w:rsidRDefault="004B29F9">
    <w:pPr>
      <w:pStyle w:val="En-tte"/>
    </w:pPr>
    <w:r>
      <w:rPr>
        <w:noProof/>
      </w:rPr>
      <w:drawing>
        <wp:anchor distT="0" distB="0" distL="114300" distR="114300" simplePos="0" relativeHeight="251659264" behindDoc="0" locked="0" layoutInCell="1" allowOverlap="1" wp14:anchorId="1728D22D" wp14:editId="176FCBA6">
          <wp:simplePos x="0" y="0"/>
          <wp:positionH relativeFrom="margin">
            <wp:posOffset>-813435</wp:posOffset>
          </wp:positionH>
          <wp:positionV relativeFrom="paragraph">
            <wp:posOffset>-278130</wp:posOffset>
          </wp:positionV>
          <wp:extent cx="1576800" cy="410400"/>
          <wp:effectExtent l="0" t="0" r="4445" b="8890"/>
          <wp:wrapThrough wrapText="bothSides">
            <wp:wrapPolygon edited="0">
              <wp:start x="0" y="0"/>
              <wp:lineTo x="0" y="21065"/>
              <wp:lineTo x="21400" y="21065"/>
              <wp:lineTo x="21400" y="0"/>
              <wp:lineTo x="0" y="0"/>
            </wp:wrapPolygon>
          </wp:wrapThrough>
          <wp:docPr id="7298656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72374" name="Image 801472374"/>
                  <pic:cNvPicPr/>
                </pic:nvPicPr>
                <pic:blipFill>
                  <a:blip r:embed="rId1">
                    <a:extLst>
                      <a:ext uri="{28A0092B-C50C-407E-A947-70E740481C1C}">
                        <a14:useLocalDpi xmlns:a14="http://schemas.microsoft.com/office/drawing/2010/main" val="0"/>
                      </a:ext>
                    </a:extLst>
                  </a:blip>
                  <a:stretch>
                    <a:fillRect/>
                  </a:stretch>
                </pic:blipFill>
                <pic:spPr>
                  <a:xfrm>
                    <a:off x="0" y="0"/>
                    <a:ext cx="1576800" cy="410400"/>
                  </a:xfrm>
                  <a:prstGeom prst="rect">
                    <a:avLst/>
                  </a:prstGeom>
                </pic:spPr>
              </pic:pic>
            </a:graphicData>
          </a:graphic>
          <wp14:sizeRelH relativeFrom="margin">
            <wp14:pctWidth>0</wp14:pctWidth>
          </wp14:sizeRelH>
          <wp14:sizeRelV relativeFrom="margin">
            <wp14:pctHeight>0</wp14:pctHeight>
          </wp14:sizeRelV>
        </wp:anchor>
      </w:drawing>
    </w:r>
    <w:r>
      <w:rPr>
        <w:b/>
        <w:noProof/>
        <w:sz w:val="32"/>
        <w:szCs w:val="32"/>
      </w:rPr>
      <w:drawing>
        <wp:anchor distT="0" distB="0" distL="114300" distR="114300" simplePos="0" relativeHeight="251660288" behindDoc="1" locked="0" layoutInCell="1" allowOverlap="1" wp14:anchorId="53B1E3FB" wp14:editId="66563397">
          <wp:simplePos x="0" y="0"/>
          <wp:positionH relativeFrom="margin">
            <wp:posOffset>5323938</wp:posOffset>
          </wp:positionH>
          <wp:positionV relativeFrom="paragraph">
            <wp:posOffset>-382709</wp:posOffset>
          </wp:positionV>
          <wp:extent cx="1439545" cy="647700"/>
          <wp:effectExtent l="0" t="0" r="8255" b="0"/>
          <wp:wrapTight wrapText="bothSides">
            <wp:wrapPolygon edited="0">
              <wp:start x="0" y="3812"/>
              <wp:lineTo x="0" y="13976"/>
              <wp:lineTo x="21438" y="13976"/>
              <wp:lineTo x="21438" y="6353"/>
              <wp:lineTo x="20295" y="5718"/>
              <wp:lineTo x="12577" y="3812"/>
              <wp:lineTo x="0" y="3812"/>
            </wp:wrapPolygon>
          </wp:wrapTight>
          <wp:docPr id="144989584" name="Image 14498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t="1" b="-12566"/>
                  <a:stretch/>
                </pic:blipFill>
                <pic:spPr bwMode="auto">
                  <a:xfrm>
                    <a:off x="0" y="0"/>
                    <a:ext cx="1439545"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CE079" w14:textId="77777777" w:rsidR="002E0F9C" w:rsidRDefault="002E0F9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6781"/>
    <w:multiLevelType w:val="hybridMultilevel"/>
    <w:tmpl w:val="308CB89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24895ED3"/>
    <w:multiLevelType w:val="hybridMultilevel"/>
    <w:tmpl w:val="A7A8435A"/>
    <w:lvl w:ilvl="0" w:tplc="51442AC6">
      <w:start w:val="5"/>
      <w:numFmt w:val="bullet"/>
      <w:lvlText w:val="-"/>
      <w:lvlJc w:val="left"/>
      <w:pPr>
        <w:ind w:left="720" w:hanging="360"/>
      </w:pPr>
      <w:rPr>
        <w:rFonts w:ascii="Candara" w:eastAsia="Arial" w:hAnsi="Candara"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BCD1FAF"/>
    <w:multiLevelType w:val="hybridMultilevel"/>
    <w:tmpl w:val="878C6D6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486C0F20"/>
    <w:multiLevelType w:val="multilevel"/>
    <w:tmpl w:val="DA54639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sz w:val="24"/>
        <w:szCs w:val="24"/>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54C4355E"/>
    <w:multiLevelType w:val="hybridMultilevel"/>
    <w:tmpl w:val="4F004B40"/>
    <w:lvl w:ilvl="0" w:tplc="0C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3667E05"/>
    <w:multiLevelType w:val="hybridMultilevel"/>
    <w:tmpl w:val="087A94F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63A32A38"/>
    <w:multiLevelType w:val="hybridMultilevel"/>
    <w:tmpl w:val="6720D4B6"/>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64414D61"/>
    <w:multiLevelType w:val="hybridMultilevel"/>
    <w:tmpl w:val="ADAEA040"/>
    <w:lvl w:ilvl="0" w:tplc="0C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93290462">
    <w:abstractNumId w:val="0"/>
  </w:num>
  <w:num w:numId="2" w16cid:durableId="2060274776">
    <w:abstractNumId w:val="5"/>
  </w:num>
  <w:num w:numId="3" w16cid:durableId="340812864">
    <w:abstractNumId w:val="2"/>
  </w:num>
  <w:num w:numId="4" w16cid:durableId="143199988">
    <w:abstractNumId w:val="1"/>
  </w:num>
  <w:num w:numId="5" w16cid:durableId="980310177">
    <w:abstractNumId w:val="7"/>
  </w:num>
  <w:num w:numId="6" w16cid:durableId="613754322">
    <w:abstractNumId w:val="4"/>
  </w:num>
  <w:num w:numId="7" w16cid:durableId="500394470">
    <w:abstractNumId w:val="6"/>
  </w:num>
  <w:num w:numId="8" w16cid:durableId="1316957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B2E"/>
    <w:rsid w:val="00075B2E"/>
    <w:rsid w:val="000F0465"/>
    <w:rsid w:val="0012060E"/>
    <w:rsid w:val="00131B6E"/>
    <w:rsid w:val="001378D6"/>
    <w:rsid w:val="002520C7"/>
    <w:rsid w:val="002658EB"/>
    <w:rsid w:val="002E0F9C"/>
    <w:rsid w:val="00317847"/>
    <w:rsid w:val="003D37AB"/>
    <w:rsid w:val="003D575C"/>
    <w:rsid w:val="004B29F9"/>
    <w:rsid w:val="00633377"/>
    <w:rsid w:val="00661433"/>
    <w:rsid w:val="00684121"/>
    <w:rsid w:val="00762F7E"/>
    <w:rsid w:val="00791459"/>
    <w:rsid w:val="007D69F9"/>
    <w:rsid w:val="00842251"/>
    <w:rsid w:val="008D71B8"/>
    <w:rsid w:val="00A308A6"/>
    <w:rsid w:val="00B54726"/>
    <w:rsid w:val="00B86C83"/>
    <w:rsid w:val="00C933D4"/>
    <w:rsid w:val="00CB5D40"/>
    <w:rsid w:val="00CF445F"/>
    <w:rsid w:val="00DB00F8"/>
    <w:rsid w:val="00EF54AB"/>
    <w:rsid w:val="00F055E9"/>
    <w:rsid w:val="00FD27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D2109"/>
  <w15:chartTrackingRefBased/>
  <w15:docId w15:val="{153B52E7-B5EE-4A43-84EC-4FFC1F5E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B2E"/>
    <w:pPr>
      <w:spacing w:line="259" w:lineRule="auto"/>
    </w:pPr>
    <w:rPr>
      <w:sz w:val="22"/>
      <w:szCs w:val="22"/>
    </w:rPr>
  </w:style>
  <w:style w:type="paragraph" w:styleId="Titre1">
    <w:name w:val="heading 1"/>
    <w:basedOn w:val="Normal"/>
    <w:next w:val="Normal"/>
    <w:link w:val="Titre1Car"/>
    <w:uiPriority w:val="9"/>
    <w:qFormat/>
    <w:rsid w:val="00075B2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075B2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75B2E"/>
    <w:pPr>
      <w:keepNext/>
      <w:keepLines/>
      <w:spacing w:before="160" w:after="80" w:line="278" w:lineRule="auto"/>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75B2E"/>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itre5">
    <w:name w:val="heading 5"/>
    <w:basedOn w:val="Normal"/>
    <w:next w:val="Normal"/>
    <w:link w:val="Titre5Car"/>
    <w:uiPriority w:val="9"/>
    <w:semiHidden/>
    <w:unhideWhenUsed/>
    <w:qFormat/>
    <w:rsid w:val="00075B2E"/>
    <w:pPr>
      <w:keepNext/>
      <w:keepLines/>
      <w:spacing w:before="80" w:after="40" w:line="278" w:lineRule="auto"/>
      <w:outlineLvl w:val="4"/>
    </w:pPr>
    <w:rPr>
      <w:rFonts w:eastAsiaTheme="majorEastAsia" w:cstheme="majorBidi"/>
      <w:color w:val="0F4761" w:themeColor="accent1" w:themeShade="BF"/>
      <w:sz w:val="24"/>
      <w:szCs w:val="24"/>
    </w:rPr>
  </w:style>
  <w:style w:type="paragraph" w:styleId="Titre6">
    <w:name w:val="heading 6"/>
    <w:basedOn w:val="Normal"/>
    <w:next w:val="Normal"/>
    <w:link w:val="Titre6Car"/>
    <w:uiPriority w:val="9"/>
    <w:semiHidden/>
    <w:unhideWhenUsed/>
    <w:qFormat/>
    <w:rsid w:val="00075B2E"/>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itre7">
    <w:name w:val="heading 7"/>
    <w:basedOn w:val="Normal"/>
    <w:next w:val="Normal"/>
    <w:link w:val="Titre7Car"/>
    <w:uiPriority w:val="9"/>
    <w:semiHidden/>
    <w:unhideWhenUsed/>
    <w:qFormat/>
    <w:rsid w:val="00075B2E"/>
    <w:pPr>
      <w:keepNext/>
      <w:keepLines/>
      <w:spacing w:before="40" w:after="0" w:line="278" w:lineRule="auto"/>
      <w:outlineLvl w:val="6"/>
    </w:pPr>
    <w:rPr>
      <w:rFonts w:eastAsiaTheme="majorEastAsia" w:cstheme="majorBidi"/>
      <w:color w:val="595959" w:themeColor="text1" w:themeTint="A6"/>
      <w:sz w:val="24"/>
      <w:szCs w:val="24"/>
    </w:rPr>
  </w:style>
  <w:style w:type="paragraph" w:styleId="Titre8">
    <w:name w:val="heading 8"/>
    <w:basedOn w:val="Normal"/>
    <w:next w:val="Normal"/>
    <w:link w:val="Titre8Car"/>
    <w:uiPriority w:val="9"/>
    <w:semiHidden/>
    <w:unhideWhenUsed/>
    <w:qFormat/>
    <w:rsid w:val="00075B2E"/>
    <w:pPr>
      <w:keepNext/>
      <w:keepLines/>
      <w:spacing w:after="0" w:line="278" w:lineRule="auto"/>
      <w:outlineLvl w:val="7"/>
    </w:pPr>
    <w:rPr>
      <w:rFonts w:eastAsiaTheme="majorEastAsia" w:cstheme="majorBidi"/>
      <w:i/>
      <w:iCs/>
      <w:color w:val="272727" w:themeColor="text1" w:themeTint="D8"/>
      <w:sz w:val="24"/>
      <w:szCs w:val="24"/>
    </w:rPr>
  </w:style>
  <w:style w:type="paragraph" w:styleId="Titre9">
    <w:name w:val="heading 9"/>
    <w:basedOn w:val="Normal"/>
    <w:next w:val="Normal"/>
    <w:link w:val="Titre9Car"/>
    <w:uiPriority w:val="9"/>
    <w:semiHidden/>
    <w:unhideWhenUsed/>
    <w:qFormat/>
    <w:rsid w:val="00075B2E"/>
    <w:pPr>
      <w:keepNext/>
      <w:keepLines/>
      <w:spacing w:after="0" w:line="278" w:lineRule="auto"/>
      <w:outlineLvl w:val="8"/>
    </w:pPr>
    <w:rPr>
      <w:rFonts w:eastAsiaTheme="majorEastAsia" w:cstheme="majorBidi"/>
      <w:color w:val="272727" w:themeColor="text1" w:themeTint="D8"/>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75B2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075B2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75B2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75B2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75B2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75B2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75B2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75B2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75B2E"/>
    <w:rPr>
      <w:rFonts w:eastAsiaTheme="majorEastAsia" w:cstheme="majorBidi"/>
      <w:color w:val="272727" w:themeColor="text1" w:themeTint="D8"/>
    </w:rPr>
  </w:style>
  <w:style w:type="paragraph" w:styleId="Titre">
    <w:name w:val="Title"/>
    <w:basedOn w:val="Normal"/>
    <w:next w:val="Normal"/>
    <w:link w:val="TitreCar"/>
    <w:uiPriority w:val="10"/>
    <w:qFormat/>
    <w:rsid w:val="00075B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75B2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75B2E"/>
    <w:pPr>
      <w:numPr>
        <w:ilvl w:val="1"/>
      </w:numPr>
      <w:spacing w:line="278" w:lineRule="auto"/>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75B2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75B2E"/>
    <w:pPr>
      <w:spacing w:before="160" w:line="278" w:lineRule="auto"/>
      <w:jc w:val="center"/>
    </w:pPr>
    <w:rPr>
      <w:i/>
      <w:iCs/>
      <w:color w:val="404040" w:themeColor="text1" w:themeTint="BF"/>
      <w:sz w:val="24"/>
      <w:szCs w:val="24"/>
    </w:rPr>
  </w:style>
  <w:style w:type="character" w:customStyle="1" w:styleId="CitationCar">
    <w:name w:val="Citation Car"/>
    <w:basedOn w:val="Policepardfaut"/>
    <w:link w:val="Citation"/>
    <w:uiPriority w:val="29"/>
    <w:rsid w:val="00075B2E"/>
    <w:rPr>
      <w:i/>
      <w:iCs/>
      <w:color w:val="404040" w:themeColor="text1" w:themeTint="BF"/>
    </w:rPr>
  </w:style>
  <w:style w:type="paragraph" w:styleId="Paragraphedeliste">
    <w:name w:val="List Paragraph"/>
    <w:basedOn w:val="Normal"/>
    <w:uiPriority w:val="34"/>
    <w:qFormat/>
    <w:rsid w:val="00075B2E"/>
    <w:pPr>
      <w:spacing w:line="278" w:lineRule="auto"/>
      <w:ind w:left="720"/>
      <w:contextualSpacing/>
    </w:pPr>
    <w:rPr>
      <w:sz w:val="24"/>
      <w:szCs w:val="24"/>
    </w:rPr>
  </w:style>
  <w:style w:type="character" w:styleId="Accentuationintense">
    <w:name w:val="Intense Emphasis"/>
    <w:basedOn w:val="Policepardfaut"/>
    <w:uiPriority w:val="21"/>
    <w:qFormat/>
    <w:rsid w:val="00075B2E"/>
    <w:rPr>
      <w:i/>
      <w:iCs/>
      <w:color w:val="0F4761" w:themeColor="accent1" w:themeShade="BF"/>
    </w:rPr>
  </w:style>
  <w:style w:type="paragraph" w:styleId="Citationintense">
    <w:name w:val="Intense Quote"/>
    <w:basedOn w:val="Normal"/>
    <w:next w:val="Normal"/>
    <w:link w:val="CitationintenseCar"/>
    <w:uiPriority w:val="30"/>
    <w:qFormat/>
    <w:rsid w:val="00075B2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tionintenseCar">
    <w:name w:val="Citation intense Car"/>
    <w:basedOn w:val="Policepardfaut"/>
    <w:link w:val="Citationintense"/>
    <w:uiPriority w:val="30"/>
    <w:rsid w:val="00075B2E"/>
    <w:rPr>
      <w:i/>
      <w:iCs/>
      <w:color w:val="0F4761" w:themeColor="accent1" w:themeShade="BF"/>
    </w:rPr>
  </w:style>
  <w:style w:type="character" w:styleId="Rfrenceintense">
    <w:name w:val="Intense Reference"/>
    <w:basedOn w:val="Policepardfaut"/>
    <w:uiPriority w:val="32"/>
    <w:qFormat/>
    <w:rsid w:val="00075B2E"/>
    <w:rPr>
      <w:b/>
      <w:bCs/>
      <w:smallCaps/>
      <w:color w:val="0F4761" w:themeColor="accent1" w:themeShade="BF"/>
      <w:spacing w:val="5"/>
    </w:rPr>
  </w:style>
  <w:style w:type="character" w:styleId="Marquedecommentaire">
    <w:name w:val="annotation reference"/>
    <w:basedOn w:val="Policepardfaut"/>
    <w:uiPriority w:val="99"/>
    <w:semiHidden/>
    <w:unhideWhenUsed/>
    <w:rsid w:val="00CF445F"/>
    <w:rPr>
      <w:sz w:val="16"/>
      <w:szCs w:val="16"/>
    </w:rPr>
  </w:style>
  <w:style w:type="paragraph" w:styleId="Commentaire">
    <w:name w:val="annotation text"/>
    <w:basedOn w:val="Normal"/>
    <w:link w:val="CommentaireCar"/>
    <w:uiPriority w:val="99"/>
    <w:unhideWhenUsed/>
    <w:rsid w:val="00CF445F"/>
    <w:pPr>
      <w:spacing w:line="240" w:lineRule="auto"/>
    </w:pPr>
    <w:rPr>
      <w:sz w:val="20"/>
      <w:szCs w:val="20"/>
    </w:rPr>
  </w:style>
  <w:style w:type="character" w:customStyle="1" w:styleId="CommentaireCar">
    <w:name w:val="Commentaire Car"/>
    <w:basedOn w:val="Policepardfaut"/>
    <w:link w:val="Commentaire"/>
    <w:uiPriority w:val="99"/>
    <w:rsid w:val="00CF445F"/>
    <w:rPr>
      <w:sz w:val="20"/>
      <w:szCs w:val="20"/>
    </w:rPr>
  </w:style>
  <w:style w:type="paragraph" w:styleId="En-tte">
    <w:name w:val="header"/>
    <w:basedOn w:val="Normal"/>
    <w:link w:val="En-tteCar"/>
    <w:uiPriority w:val="99"/>
    <w:unhideWhenUsed/>
    <w:rsid w:val="00C933D4"/>
    <w:pPr>
      <w:tabs>
        <w:tab w:val="center" w:pos="4680"/>
        <w:tab w:val="right" w:pos="9360"/>
      </w:tabs>
      <w:spacing w:after="0" w:line="240" w:lineRule="auto"/>
    </w:pPr>
  </w:style>
  <w:style w:type="character" w:customStyle="1" w:styleId="En-tteCar">
    <w:name w:val="En-tête Car"/>
    <w:basedOn w:val="Policepardfaut"/>
    <w:link w:val="En-tte"/>
    <w:uiPriority w:val="99"/>
    <w:rsid w:val="00C933D4"/>
    <w:rPr>
      <w:sz w:val="22"/>
      <w:szCs w:val="22"/>
    </w:rPr>
  </w:style>
  <w:style w:type="paragraph" w:styleId="Pieddepage">
    <w:name w:val="footer"/>
    <w:basedOn w:val="Normal"/>
    <w:link w:val="PieddepageCar"/>
    <w:uiPriority w:val="99"/>
    <w:unhideWhenUsed/>
    <w:rsid w:val="00C933D4"/>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C933D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2</Pages>
  <Words>469</Words>
  <Characters>2580</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Ecole de technologie superieure</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Haji, Nabila</dc:creator>
  <cp:keywords/>
  <dc:description/>
  <cp:lastModifiedBy>Haji, Nabila</cp:lastModifiedBy>
  <cp:revision>14</cp:revision>
  <dcterms:created xsi:type="dcterms:W3CDTF">2026-08-27T21:11:00Z</dcterms:created>
  <dcterms:modified xsi:type="dcterms:W3CDTF">2026-09-08T21:11:00Z</dcterms:modified>
</cp:coreProperties>
</file>